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C5" w:rsidRDefault="00CC3946">
      <w:pPr>
        <w:pStyle w:val="Hoofdtekst"/>
        <w:spacing w:line="288" w:lineRule="auto"/>
        <w:rPr>
          <w:rFonts w:hint="eastAsia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Uitnodiging</w:t>
      </w:r>
      <w:proofErr w:type="spellEnd"/>
      <w:r>
        <w:rPr>
          <w:b/>
          <w:bCs/>
          <w:sz w:val="24"/>
          <w:szCs w:val="24"/>
        </w:rPr>
        <w:t xml:space="preserve"> online seminar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Online Seminar Series</w:t>
      </w:r>
    </w:p>
    <w:p w:rsidR="005F58C5" w:rsidRDefault="00CC3946">
      <w:pPr>
        <w:pStyle w:val="Hoofdtekst"/>
        <w:spacing w:line="288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‘Smart Cities in a Post-Corona World’</w:t>
      </w:r>
    </w:p>
    <w:p w:rsidR="005F58C5" w:rsidRDefault="00CC3946">
      <w:pPr>
        <w:pStyle w:val="Hoofdtekst"/>
        <w:spacing w:line="288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Part 1: Who lives in smart cities? An exploration on ethics and changing world views.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has changed the world as we know it. Whether you see this crisis</w:t>
      </w:r>
      <w:r>
        <w:rPr>
          <w:sz w:val="24"/>
          <w:szCs w:val="24"/>
        </w:rPr>
        <w:t xml:space="preserve"> as a catastrophe or an opportunity, it forces us to re-evaluate our current world model and think harder and deeper than ever about the kind of world we want to live and work in once the crisis is over.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Smart Cities Innovation Space, a student based prog</w:t>
      </w:r>
      <w:r>
        <w:rPr>
          <w:sz w:val="24"/>
          <w:szCs w:val="24"/>
        </w:rPr>
        <w:t xml:space="preserve">ram at the Technical University of Eindhoven, is </w:t>
      </w:r>
      <w:proofErr w:type="spellStart"/>
      <w:r>
        <w:rPr>
          <w:sz w:val="24"/>
          <w:szCs w:val="24"/>
          <w:lang w:val="de-DE"/>
        </w:rPr>
        <w:t>organising</w:t>
      </w:r>
      <w:proofErr w:type="spellEnd"/>
      <w:r>
        <w:rPr>
          <w:sz w:val="24"/>
          <w:szCs w:val="24"/>
        </w:rPr>
        <w:t xml:space="preserve"> a series of online seminars about smart cities in the post-corona world. In these seminars we explore the role energy, transportation, food and health care play in smart cities, embedded in an eth</w:t>
      </w:r>
      <w:r>
        <w:rPr>
          <w:sz w:val="24"/>
          <w:szCs w:val="24"/>
        </w:rPr>
        <w:t>ical framework that reflects our changing value system.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Our first seminar focuses on the ethical framework. The </w:t>
      </w:r>
      <w:r>
        <w:rPr>
          <w:sz w:val="24"/>
          <w:szCs w:val="24"/>
          <w:lang w:val="es-ES_tradnl"/>
        </w:rPr>
        <w:t>corona crisis</w:t>
      </w:r>
      <w:r>
        <w:rPr>
          <w:sz w:val="24"/>
          <w:szCs w:val="24"/>
        </w:rPr>
        <w:t xml:space="preserve"> has changed many people’s worldview. Do we want society to continue at the same fast pace or do we slow down and spend more time </w:t>
      </w:r>
      <w:r>
        <w:rPr>
          <w:sz w:val="24"/>
          <w:szCs w:val="24"/>
        </w:rPr>
        <w:t>on our social relations and our connection to nature? How can technology serve these needs? We talk about changing world views, barriers to growth, the privacy issue how technology can adapt.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The seminars are targeted towards professionals in the business</w:t>
      </w:r>
      <w:r>
        <w:rPr>
          <w:sz w:val="24"/>
          <w:szCs w:val="24"/>
        </w:rPr>
        <w:t xml:space="preserve"> world, knowledge institutions and government bodies. A wide range of speakers and experts shine their light on the direction the world is taking in the next 5 to 10 years, taking into account the influence of the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. 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Date:</w:t>
      </w: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Time:</w:t>
      </w: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Log in link:</w:t>
      </w:r>
    </w:p>
    <w:p w:rsidR="005F58C5" w:rsidRDefault="005F58C5">
      <w:pPr>
        <w:pStyle w:val="Hoofdtekst"/>
        <w:spacing w:line="288" w:lineRule="auto"/>
        <w:rPr>
          <w:rFonts w:hint="eastAsia"/>
          <w:sz w:val="24"/>
          <w:szCs w:val="24"/>
        </w:rPr>
      </w:pP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articipation is free of charge</w:t>
      </w:r>
    </w:p>
    <w:p w:rsidR="005F58C5" w:rsidRDefault="00CC3946">
      <w:pPr>
        <w:pStyle w:val="Hoofdtekst"/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br/>
      </w:r>
      <w:commentRangeStart w:id="0"/>
    </w:p>
    <w:p w:rsidR="005F58C5" w:rsidRDefault="00CC3946">
      <w:pPr>
        <w:pStyle w:val="Hoofdtekst"/>
        <w:spacing w:line="288" w:lineRule="auto"/>
        <w:rPr>
          <w:rFonts w:hint="eastAsia"/>
        </w:rPr>
      </w:pPr>
      <w:r>
        <w:rPr>
          <w:b/>
          <w:bCs/>
          <w:sz w:val="24"/>
          <w:szCs w:val="24"/>
        </w:rPr>
        <w:t>Program/speakers</w:t>
      </w:r>
      <w:commentRangeEnd w:id="0"/>
      <w:r>
        <w:commentReference w:id="0"/>
      </w:r>
    </w:p>
    <w:sectPr w:rsidR="005F58C5" w:rsidSect="005F58C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idde Tangerman" w:date="2020-05-04T20:20:00Z" w:initials="">
    <w:p w:rsidR="005F58C5" w:rsidRDefault="005F58C5"/>
    <w:p w:rsidR="005F58C5" w:rsidRDefault="00CC3946">
      <w:r>
        <w:rPr>
          <w:rFonts w:eastAsia="Arial Unicode MS" w:cs="Arial Unicode MS"/>
        </w:rPr>
        <w:t>Door jullie nog in te vullen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46" w:rsidRDefault="00CC3946" w:rsidP="005F58C5">
      <w:pPr>
        <w:spacing w:before="0"/>
      </w:pPr>
      <w:r>
        <w:separator/>
      </w:r>
    </w:p>
  </w:endnote>
  <w:endnote w:type="continuationSeparator" w:id="0">
    <w:p w:rsidR="00CC3946" w:rsidRDefault="00CC3946" w:rsidP="005F58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C5" w:rsidRDefault="005F58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46" w:rsidRDefault="00CC3946" w:rsidP="005F58C5">
      <w:pPr>
        <w:spacing w:before="0"/>
      </w:pPr>
      <w:r>
        <w:separator/>
      </w:r>
    </w:p>
  </w:footnote>
  <w:footnote w:type="continuationSeparator" w:id="0">
    <w:p w:rsidR="00CC3946" w:rsidRDefault="00CC3946" w:rsidP="005F58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C5" w:rsidRDefault="005F58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8C5"/>
    <w:rsid w:val="005F58C5"/>
    <w:rsid w:val="006739E2"/>
    <w:rsid w:val="00C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F58C5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F58C5"/>
    <w:rPr>
      <w:u w:val="single"/>
    </w:rPr>
  </w:style>
  <w:style w:type="table" w:customStyle="1" w:styleId="TableNormal">
    <w:name w:val="Table Normal"/>
    <w:rsid w:val="005F5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5F58C5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58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58C5"/>
    <w:rPr>
      <w:rFonts w:ascii="Helvetica Neue" w:eastAsia="Helvetica Neue" w:hAnsi="Helvetica Neue" w:cs="Helvetica Neue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58C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9E2"/>
    <w:rPr>
      <w:rFonts w:ascii="Tahoma" w:eastAsia="Helvetica Neue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2020-05-07T07:21:00Z</dcterms:created>
  <dcterms:modified xsi:type="dcterms:W3CDTF">2020-05-07T07:21:00Z</dcterms:modified>
</cp:coreProperties>
</file>